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FE" w:rsidRPr="00DF56AA" w:rsidRDefault="000276FE" w:rsidP="000276FE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F56AA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0276FE" w:rsidRDefault="000276FE" w:rsidP="000276FE">
      <w:pPr>
        <w:pStyle w:val="a4"/>
        <w:jc w:val="right"/>
        <w:rPr>
          <w:color w:val="000000"/>
          <w:sz w:val="28"/>
          <w:szCs w:val="28"/>
        </w:rPr>
      </w:pPr>
    </w:p>
    <w:p w:rsidR="000276FE" w:rsidRPr="00DF56AA" w:rsidRDefault="000276FE" w:rsidP="000276FE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56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Журнал учета мероприятий родительского контроля</w:t>
      </w: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524"/>
        <w:gridCol w:w="1502"/>
        <w:gridCol w:w="1768"/>
        <w:gridCol w:w="1843"/>
        <w:gridCol w:w="1984"/>
        <w:gridCol w:w="1985"/>
      </w:tblGrid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  <w:r w:rsidRPr="0083161B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68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98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участников контроля</w:t>
            </w:r>
          </w:p>
        </w:tc>
        <w:tc>
          <w:tcPr>
            <w:tcW w:w="1985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Субъективная оценка</w:t>
            </w: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76FE" w:rsidRPr="0083161B" w:rsidTr="00647BB7">
        <w:tc>
          <w:tcPr>
            <w:tcW w:w="524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0276FE" w:rsidRPr="0083161B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6FE" w:rsidRDefault="000276FE" w:rsidP="00647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276FE" w:rsidRDefault="000276FE" w:rsidP="000276F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276FE" w:rsidRPr="0083161B" w:rsidRDefault="000276FE" w:rsidP="000276F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276FE" w:rsidRPr="0083161B" w:rsidRDefault="000276FE" w:rsidP="000276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1B"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:rsidR="000276FE" w:rsidRPr="0083161B" w:rsidRDefault="000276FE" w:rsidP="000276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b/>
          <w:sz w:val="28"/>
          <w:szCs w:val="28"/>
        </w:rPr>
        <w:t>по проведению родительского контроля в школьной столовой</w:t>
      </w:r>
      <w:r w:rsidRPr="0083161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0276FE" w:rsidRPr="0083161B" w:rsidRDefault="000276FE" w:rsidP="000276FE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83161B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0276FE" w:rsidRPr="0083161B" w:rsidRDefault="000276FE" w:rsidP="000276FE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83161B">
        <w:rPr>
          <w:rFonts w:ascii="Times New Roman" w:hAnsi="Times New Roman" w:cs="Times New Roman"/>
          <w:sz w:val="18"/>
          <w:szCs w:val="18"/>
        </w:rPr>
        <w:t xml:space="preserve"> (основания)</w:t>
      </w:r>
    </w:p>
    <w:p w:rsidR="000276FE" w:rsidRPr="0083161B" w:rsidRDefault="000276FE" w:rsidP="000276FE">
      <w:pPr>
        <w:pStyle w:val="a4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0276FE" w:rsidRPr="0083161B" w:rsidRDefault="000276FE" w:rsidP="000276FE">
      <w:pPr>
        <w:pStyle w:val="a4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_____________________________________________</w:t>
      </w:r>
    </w:p>
    <w:p w:rsidR="000276FE" w:rsidRPr="0083161B" w:rsidRDefault="000276FE" w:rsidP="000276FE">
      <w:pPr>
        <w:pStyle w:val="a4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sz w:val="28"/>
          <w:szCs w:val="28"/>
        </w:rPr>
        <w:t>Члены комиссии ___________________________________________________</w:t>
      </w:r>
    </w:p>
    <w:p w:rsidR="000276FE" w:rsidRPr="0083161B" w:rsidRDefault="000276FE" w:rsidP="000276FE">
      <w:pPr>
        <w:pStyle w:val="a4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6FE" w:rsidRPr="0083161B" w:rsidRDefault="000276FE" w:rsidP="000276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sz w:val="28"/>
          <w:szCs w:val="28"/>
        </w:rPr>
        <w:t>В присутствии______________________________________________________</w:t>
      </w:r>
    </w:p>
    <w:p w:rsidR="000276FE" w:rsidRPr="0083161B" w:rsidRDefault="000276FE" w:rsidP="000276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76FE" w:rsidRPr="0083161B" w:rsidRDefault="000276FE" w:rsidP="000276F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83161B">
        <w:rPr>
          <w:rFonts w:ascii="Times New Roman" w:hAnsi="Times New Roman" w:cs="Times New Roman"/>
          <w:sz w:val="28"/>
          <w:szCs w:val="28"/>
        </w:rPr>
        <w:t>составили настоящий проверочный лист о том, что «___» ______________ 20__г. в ____ смену, на ____ перемене проведено мероприятие родительского контроля за питанием обучающихся.</w:t>
      </w:r>
    </w:p>
    <w:tbl>
      <w:tblPr>
        <w:tblW w:w="9845" w:type="dxa"/>
        <w:tblLook w:val="04A0" w:firstRow="1" w:lastRow="0" w:firstColumn="1" w:lastColumn="0" w:noHBand="0" w:noVBand="1"/>
      </w:tblPr>
      <w:tblGrid>
        <w:gridCol w:w="8625"/>
        <w:gridCol w:w="542"/>
        <w:gridCol w:w="678"/>
      </w:tblGrid>
      <w:tr w:rsidR="000276FE" w:rsidRPr="0083161B" w:rsidTr="00647BB7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ВОПРОС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Да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Нет</w:t>
            </w:r>
          </w:p>
        </w:tc>
      </w:tr>
      <w:tr w:rsidR="000276FE" w:rsidRPr="0083161B" w:rsidTr="00647BB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Соответствует ли фактическое меню, объемы порций, двухнедельному меню, утвержденному руководителем общеобразовательной организации?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0276FE" w:rsidRPr="0083161B" w:rsidTr="00647BB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 xml:space="preserve">Организовано ли питание детей, требующих индивидуального подхода в организации питания детей (сахарный диабет, </w:t>
            </w:r>
            <w:proofErr w:type="spellStart"/>
            <w:r w:rsidRPr="0083161B">
              <w:rPr>
                <w:sz w:val="28"/>
                <w:szCs w:val="28"/>
              </w:rPr>
              <w:t>целиакия</w:t>
            </w:r>
            <w:proofErr w:type="spellEnd"/>
            <w:r w:rsidRPr="0083161B">
              <w:rPr>
                <w:sz w:val="28"/>
                <w:szCs w:val="28"/>
              </w:rPr>
              <w:t xml:space="preserve">, </w:t>
            </w:r>
            <w:proofErr w:type="spellStart"/>
            <w:r w:rsidRPr="0083161B">
              <w:rPr>
                <w:sz w:val="28"/>
                <w:szCs w:val="28"/>
              </w:rPr>
              <w:t>фенилкетонурия</w:t>
            </w:r>
            <w:proofErr w:type="spellEnd"/>
            <w:r w:rsidRPr="0083161B">
              <w:rPr>
                <w:sz w:val="28"/>
                <w:szCs w:val="28"/>
              </w:rPr>
              <w:t xml:space="preserve">, </w:t>
            </w:r>
            <w:proofErr w:type="spellStart"/>
            <w:r w:rsidRPr="0083161B">
              <w:rPr>
                <w:sz w:val="28"/>
                <w:szCs w:val="28"/>
              </w:rPr>
              <w:t>муковисцидоз</w:t>
            </w:r>
            <w:proofErr w:type="spellEnd"/>
            <w:r w:rsidRPr="0083161B">
              <w:rPr>
                <w:sz w:val="28"/>
                <w:szCs w:val="28"/>
              </w:rPr>
              <w:t>, пищевая аллергия)?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0276FE" w:rsidRPr="0083161B" w:rsidTr="00647BB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 xml:space="preserve">Все ли дети с сахарным диабетом, пищевой аллергией, </w:t>
            </w:r>
            <w:proofErr w:type="spellStart"/>
            <w:r w:rsidRPr="0083161B">
              <w:rPr>
                <w:sz w:val="28"/>
                <w:szCs w:val="28"/>
              </w:rPr>
              <w:t>целиакией</w:t>
            </w:r>
            <w:proofErr w:type="spellEnd"/>
            <w:r w:rsidRPr="0083161B">
              <w:rPr>
                <w:sz w:val="28"/>
                <w:szCs w:val="28"/>
              </w:rPr>
              <w:t xml:space="preserve">, </w:t>
            </w:r>
            <w:proofErr w:type="spellStart"/>
            <w:r w:rsidRPr="0083161B">
              <w:rPr>
                <w:sz w:val="28"/>
                <w:szCs w:val="28"/>
              </w:rPr>
              <w:t>муковисцидозом</w:t>
            </w:r>
            <w:proofErr w:type="spellEnd"/>
            <w:r w:rsidRPr="0083161B">
              <w:rPr>
                <w:sz w:val="28"/>
                <w:szCs w:val="28"/>
              </w:rPr>
              <w:t xml:space="preserve">, </w:t>
            </w:r>
            <w:proofErr w:type="spellStart"/>
            <w:r w:rsidRPr="0083161B">
              <w:rPr>
                <w:sz w:val="28"/>
                <w:szCs w:val="28"/>
              </w:rPr>
              <w:t>фенилкетонурией</w:t>
            </w:r>
            <w:proofErr w:type="spellEnd"/>
            <w:r w:rsidRPr="0083161B">
              <w:rPr>
                <w:sz w:val="28"/>
                <w:szCs w:val="28"/>
              </w:rPr>
              <w:t xml:space="preserve"> питаются в столовой?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0276FE" w:rsidRPr="0083161B" w:rsidTr="00647BB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Созданы ли условия для мытья и дезинфекции рук?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0276FE" w:rsidRPr="0083161B" w:rsidTr="00647BB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Все ли дети моют руки перед едой?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0276FE" w:rsidRPr="0083161B" w:rsidTr="00647BB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Все ли дети едят сидя?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0276FE" w:rsidRPr="0083161B" w:rsidTr="00647BB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Все ли дети успевают поесть за перемену (хватает ли им времени)?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0276FE" w:rsidRPr="0083161B" w:rsidTr="00647BB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Есть ли замечания по чистоте посуды?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0276FE" w:rsidRPr="0083161B" w:rsidTr="00647BB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Есть ли замечания по чистоте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0276FE" w:rsidRPr="0083161B" w:rsidTr="00647BB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Есть ли замечания к сервировке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0276FE" w:rsidRPr="0083161B" w:rsidTr="00647BB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Теплые ли блюда выдаются детям?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0276FE" w:rsidRPr="0083161B" w:rsidTr="00647BB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Лица, накрывающие на столы, работают в специальной одежде (халат, головной убор)?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0276FE" w:rsidRPr="0083161B" w:rsidTr="00647BB7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Организовано ли наряду с основным питанием дополнительное питание (через буфет или линию раздачи)?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  <w:tr w:rsidR="000276FE" w:rsidRPr="0083161B" w:rsidTr="00647BB7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Число детей, питающихся на данной перемене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чел</w:t>
            </w:r>
          </w:p>
        </w:tc>
      </w:tr>
      <w:tr w:rsidR="000276FE" w:rsidRPr="0083161B" w:rsidTr="00647BB7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Масса всех блюд на одного ребенка по меню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г</w:t>
            </w:r>
          </w:p>
        </w:tc>
      </w:tr>
      <w:tr w:rsidR="000276FE" w:rsidRPr="0083161B" w:rsidTr="00647BB7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Общая масса несъеденной пищи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кг</w:t>
            </w:r>
          </w:p>
        </w:tc>
      </w:tr>
      <w:tr w:rsidR="000276FE" w:rsidRPr="0083161B" w:rsidTr="00647BB7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 xml:space="preserve">Индекс </w:t>
            </w:r>
            <w:proofErr w:type="spellStart"/>
            <w:r w:rsidRPr="0083161B">
              <w:rPr>
                <w:sz w:val="28"/>
                <w:szCs w:val="28"/>
              </w:rPr>
              <w:t>несъедаемости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6FE" w:rsidRPr="0083161B" w:rsidRDefault="000276FE" w:rsidP="00647BB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3161B">
              <w:rPr>
                <w:sz w:val="28"/>
                <w:szCs w:val="28"/>
              </w:rPr>
              <w:t>%</w:t>
            </w:r>
          </w:p>
        </w:tc>
      </w:tr>
    </w:tbl>
    <w:p w:rsidR="000276FE" w:rsidRDefault="000276FE" w:rsidP="000276FE">
      <w:pPr>
        <w:pStyle w:val="a4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sz w:val="28"/>
          <w:szCs w:val="28"/>
        </w:rPr>
        <w:br w:type="page"/>
      </w:r>
      <w:r w:rsidRPr="00176A6B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мероприятия Комиссия рекомендует: ____</w:t>
      </w:r>
      <w:r w:rsidRPr="00176A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176A6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276FE" w:rsidRPr="00176A6B" w:rsidRDefault="000276FE" w:rsidP="000276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76FE" w:rsidRDefault="000276FE" w:rsidP="000276FE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276FE" w:rsidRDefault="000276FE" w:rsidP="000276FE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0276FE" w:rsidRDefault="000276FE" w:rsidP="000276FE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276FE" w:rsidRDefault="000276FE" w:rsidP="000276FE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176A6B">
        <w:rPr>
          <w:rFonts w:ascii="Times New Roman" w:hAnsi="Times New Roman" w:cs="Times New Roman"/>
          <w:sz w:val="28"/>
          <w:szCs w:val="28"/>
        </w:rPr>
        <w:t>Со справкой ознакомлен законный представитель юридического лица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76A6B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0276FE" w:rsidRDefault="000276FE" w:rsidP="000276FE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276FE" w:rsidRDefault="000276FE" w:rsidP="000276FE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родительского контроля внесены в ПС «Мониторинг питания и здоровья» - «___» _______2022г. (указывается дата).</w:t>
      </w:r>
    </w:p>
    <w:p w:rsidR="000276FE" w:rsidRDefault="000276FE" w:rsidP="000276FE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276FE" w:rsidRPr="0096313E" w:rsidRDefault="000276FE" w:rsidP="000276FE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276FE" w:rsidRDefault="000276FE" w:rsidP="000276FE">
      <w:pPr>
        <w:rPr>
          <w:sz w:val="28"/>
          <w:szCs w:val="28"/>
        </w:rPr>
      </w:pPr>
    </w:p>
    <w:p w:rsidR="000276FE" w:rsidRDefault="000276FE" w:rsidP="000276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76FE" w:rsidRPr="00B40630" w:rsidRDefault="000276FE" w:rsidP="000276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630">
        <w:rPr>
          <w:rFonts w:ascii="Times New Roman" w:hAnsi="Times New Roman" w:cs="Times New Roman"/>
          <w:b/>
          <w:sz w:val="28"/>
          <w:szCs w:val="28"/>
        </w:rPr>
        <w:t xml:space="preserve">Расчет коэффициента </w:t>
      </w:r>
      <w:proofErr w:type="spellStart"/>
      <w:r w:rsidRPr="00B40630">
        <w:rPr>
          <w:rFonts w:ascii="Times New Roman" w:hAnsi="Times New Roman" w:cs="Times New Roman"/>
          <w:b/>
          <w:sz w:val="28"/>
          <w:szCs w:val="28"/>
        </w:rPr>
        <w:t>несъедаемости</w:t>
      </w:r>
      <w:proofErr w:type="spellEnd"/>
    </w:p>
    <w:p w:rsidR="000276FE" w:rsidRPr="00B40630" w:rsidRDefault="000276FE" w:rsidP="000276FE">
      <w:pPr>
        <w:autoSpaceDE/>
        <w:autoSpaceDN/>
        <w:ind w:firstLine="360"/>
        <w:jc w:val="both"/>
        <w:rPr>
          <w:b/>
          <w:bCs/>
          <w:i/>
          <w:sz w:val="24"/>
          <w:szCs w:val="24"/>
        </w:rPr>
      </w:pPr>
    </w:p>
    <w:p w:rsidR="000276FE" w:rsidRPr="00B40630" w:rsidRDefault="000276FE" w:rsidP="000276FE">
      <w:pPr>
        <w:autoSpaceDE/>
        <w:autoSpaceDN/>
        <w:ind w:firstLine="360"/>
        <w:jc w:val="both"/>
        <w:rPr>
          <w:i/>
          <w:sz w:val="24"/>
          <w:szCs w:val="24"/>
        </w:rPr>
      </w:pPr>
      <w:r w:rsidRPr="00B40630">
        <w:rPr>
          <w:b/>
          <w:bCs/>
          <w:i/>
          <w:sz w:val="24"/>
          <w:szCs w:val="24"/>
        </w:rPr>
        <w:t xml:space="preserve">Коэффициент </w:t>
      </w:r>
      <w:proofErr w:type="spellStart"/>
      <w:r w:rsidRPr="00B40630">
        <w:rPr>
          <w:b/>
          <w:bCs/>
          <w:i/>
          <w:sz w:val="24"/>
          <w:szCs w:val="24"/>
        </w:rPr>
        <w:t>несъедаемости</w:t>
      </w:r>
      <w:proofErr w:type="spellEnd"/>
      <w:r w:rsidRPr="00B40630">
        <w:rPr>
          <w:i/>
          <w:sz w:val="24"/>
          <w:szCs w:val="24"/>
        </w:rPr>
        <w:t xml:space="preserve"> - это инструмент родительского и внутреннего контроля организации, показатель свидетельствующий об эффективности или неэффективности системы организации питания в организации, полноты реализации мероприятий по формированию навыков и приверженности принципам здорового питания, профессионализма в приготовлении блюд, рациональности режима питания, обеспечения благоприятных условий для приема пищи и соблюдения правил личной гигиены детьми при приеме пищи, правильности принятого в школе режима накрывания на столы, эффективности мероприятий родительского контроля по индикации факторов риска снижения востребованности рациона питания и своевременной их коррекции. Коэффициент </w:t>
      </w:r>
      <w:proofErr w:type="spellStart"/>
      <w:r w:rsidRPr="00B40630">
        <w:rPr>
          <w:i/>
          <w:sz w:val="24"/>
          <w:szCs w:val="24"/>
        </w:rPr>
        <w:t>несъедаемости</w:t>
      </w:r>
      <w:proofErr w:type="spellEnd"/>
      <w:r w:rsidRPr="00B40630">
        <w:rPr>
          <w:i/>
          <w:sz w:val="24"/>
          <w:szCs w:val="24"/>
        </w:rPr>
        <w:t xml:space="preserve"> выражается в процентах.</w:t>
      </w:r>
    </w:p>
    <w:p w:rsidR="000276FE" w:rsidRPr="00B40630" w:rsidRDefault="000276FE" w:rsidP="000276FE">
      <w:pPr>
        <w:autoSpaceDE/>
        <w:autoSpaceDN/>
        <w:ind w:left="720"/>
        <w:contextualSpacing/>
        <w:jc w:val="both"/>
        <w:rPr>
          <w:i/>
          <w:sz w:val="24"/>
          <w:szCs w:val="24"/>
          <w:lang w:eastAsia="en-US"/>
        </w:rPr>
      </w:pPr>
    </w:p>
    <w:p w:rsidR="000276FE" w:rsidRPr="00B40630" w:rsidRDefault="000276FE" w:rsidP="000276FE">
      <w:pPr>
        <w:autoSpaceDE/>
        <w:autoSpaceDN/>
        <w:ind w:firstLine="720"/>
        <w:contextualSpacing/>
        <w:jc w:val="both"/>
        <w:rPr>
          <w:i/>
          <w:sz w:val="24"/>
          <w:szCs w:val="24"/>
          <w:lang w:eastAsia="en-US"/>
        </w:rPr>
      </w:pPr>
      <w:r w:rsidRPr="00B40630">
        <w:rPr>
          <w:i/>
          <w:sz w:val="24"/>
          <w:szCs w:val="24"/>
          <w:u w:val="single"/>
          <w:lang w:eastAsia="en-US"/>
        </w:rPr>
        <w:t>Методика расчета</w:t>
      </w:r>
      <w:r w:rsidRPr="00B40630">
        <w:rPr>
          <w:i/>
          <w:sz w:val="24"/>
          <w:szCs w:val="24"/>
          <w:lang w:eastAsia="en-US"/>
        </w:rPr>
        <w:t xml:space="preserve">: </w:t>
      </w:r>
    </w:p>
    <w:p w:rsidR="000276FE" w:rsidRPr="00B40630" w:rsidRDefault="000276FE" w:rsidP="000276FE">
      <w:pPr>
        <w:autoSpaceDE/>
        <w:autoSpaceDN/>
        <w:ind w:firstLine="720"/>
        <w:contextualSpacing/>
        <w:jc w:val="both"/>
        <w:rPr>
          <w:i/>
          <w:sz w:val="24"/>
          <w:szCs w:val="24"/>
          <w:lang w:eastAsia="en-US"/>
        </w:rPr>
      </w:pPr>
    </w:p>
    <w:p w:rsidR="000276FE" w:rsidRPr="00B40630" w:rsidRDefault="000276FE" w:rsidP="000276FE">
      <w:pPr>
        <w:autoSpaceDE/>
        <w:autoSpaceDN/>
        <w:contextualSpacing/>
        <w:jc w:val="center"/>
        <w:rPr>
          <w:i/>
          <w:sz w:val="24"/>
          <w:szCs w:val="24"/>
          <w:lang w:eastAsia="en-US"/>
        </w:rPr>
      </w:pPr>
      <w:r w:rsidRPr="00B40630">
        <w:rPr>
          <w:i/>
          <w:sz w:val="24"/>
          <w:szCs w:val="24"/>
          <w:lang w:eastAsia="en-US"/>
        </w:rPr>
        <w:t xml:space="preserve">Коэффициент </w:t>
      </w:r>
      <w:proofErr w:type="spellStart"/>
      <w:r w:rsidRPr="00B40630">
        <w:rPr>
          <w:i/>
          <w:sz w:val="24"/>
          <w:szCs w:val="24"/>
          <w:lang w:eastAsia="en-US"/>
        </w:rPr>
        <w:t>несъедаемости</w:t>
      </w:r>
      <w:proofErr w:type="spellEnd"/>
      <w:r w:rsidRPr="00B40630">
        <w:rPr>
          <w:i/>
          <w:sz w:val="24"/>
          <w:szCs w:val="24"/>
          <w:lang w:eastAsia="en-US"/>
        </w:rPr>
        <w:t xml:space="preserve"> = </w:t>
      </w:r>
      <w:r w:rsidRPr="00B40630">
        <w:rPr>
          <w:i/>
          <w:sz w:val="24"/>
          <w:szCs w:val="24"/>
          <w:lang w:eastAsia="en-US"/>
        </w:rPr>
        <w:fldChar w:fldCharType="begin"/>
      </w:r>
      <w:r w:rsidRPr="00B40630">
        <w:rPr>
          <w:i/>
          <w:sz w:val="24"/>
          <w:szCs w:val="24"/>
          <w:lang w:eastAsia="en-US"/>
        </w:rPr>
        <w:instrText xml:space="preserve"> QUOTE </w:instrText>
      </w:r>
      <w:r w:rsidRPr="00B40630">
        <w:rPr>
          <w:i/>
          <w:noProof/>
          <w:position w:val="-18"/>
          <w:sz w:val="24"/>
          <w:szCs w:val="24"/>
        </w:rPr>
        <w:drawing>
          <wp:inline distT="0" distB="0" distL="0" distR="0">
            <wp:extent cx="2257425" cy="33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630">
        <w:rPr>
          <w:i/>
          <w:sz w:val="24"/>
          <w:szCs w:val="24"/>
          <w:lang w:eastAsia="en-US"/>
        </w:rPr>
        <w:instrText xml:space="preserve"> </w:instrText>
      </w:r>
      <w:r w:rsidRPr="00B40630">
        <w:rPr>
          <w:i/>
          <w:sz w:val="24"/>
          <w:szCs w:val="24"/>
          <w:lang w:eastAsia="en-US"/>
        </w:rPr>
        <w:fldChar w:fldCharType="separate"/>
      </w:r>
      <w:r w:rsidRPr="00B40630">
        <w:rPr>
          <w:i/>
          <w:noProof/>
          <w:position w:val="-18"/>
          <w:sz w:val="24"/>
          <w:szCs w:val="24"/>
        </w:rPr>
        <w:drawing>
          <wp:inline distT="0" distB="0" distL="0" distR="0">
            <wp:extent cx="2257425" cy="333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630">
        <w:rPr>
          <w:i/>
          <w:sz w:val="24"/>
          <w:szCs w:val="24"/>
          <w:lang w:eastAsia="en-US"/>
        </w:rPr>
        <w:fldChar w:fldCharType="end"/>
      </w:r>
    </w:p>
    <w:p w:rsidR="000276FE" w:rsidRPr="00B40630" w:rsidRDefault="000276FE" w:rsidP="000276FE">
      <w:pPr>
        <w:autoSpaceDE/>
        <w:autoSpaceDN/>
        <w:ind w:firstLine="720"/>
        <w:contextualSpacing/>
        <w:jc w:val="both"/>
        <w:rPr>
          <w:i/>
          <w:sz w:val="24"/>
          <w:szCs w:val="24"/>
          <w:u w:val="single"/>
          <w:lang w:eastAsia="en-US"/>
        </w:rPr>
      </w:pPr>
    </w:p>
    <w:p w:rsidR="000276FE" w:rsidRPr="00B40630" w:rsidRDefault="000276FE" w:rsidP="000276FE">
      <w:pPr>
        <w:autoSpaceDE/>
        <w:autoSpaceDN/>
        <w:ind w:firstLine="720"/>
        <w:contextualSpacing/>
        <w:jc w:val="both"/>
        <w:rPr>
          <w:i/>
          <w:sz w:val="24"/>
          <w:szCs w:val="24"/>
          <w:lang w:eastAsia="en-US"/>
        </w:rPr>
      </w:pPr>
      <w:r w:rsidRPr="00B40630">
        <w:rPr>
          <w:i/>
          <w:sz w:val="24"/>
          <w:szCs w:val="24"/>
          <w:u w:val="single"/>
          <w:lang w:eastAsia="en-US"/>
        </w:rPr>
        <w:t>Интерпретация результатов</w:t>
      </w:r>
      <w:r w:rsidRPr="00B40630">
        <w:rPr>
          <w:i/>
          <w:sz w:val="24"/>
          <w:szCs w:val="24"/>
          <w:lang w:eastAsia="en-US"/>
        </w:rPr>
        <w:t>:</w:t>
      </w:r>
    </w:p>
    <w:p w:rsidR="000276FE" w:rsidRPr="00B40630" w:rsidRDefault="000276FE" w:rsidP="000276FE">
      <w:pPr>
        <w:pStyle w:val="a4"/>
        <w:jc w:val="both"/>
        <w:rPr>
          <w:rFonts w:ascii="Times New Roman" w:hAnsi="Times New Roman" w:cs="Microsoft Sans Serif"/>
          <w:i/>
          <w:sz w:val="24"/>
          <w:szCs w:val="24"/>
          <w:lang w:eastAsia="ru-RU"/>
        </w:rPr>
      </w:pPr>
      <w:r w:rsidRPr="00B40630">
        <w:rPr>
          <w:rFonts w:ascii="Times New Roman" w:hAnsi="Times New Roman" w:cs="Microsoft Sans Serif"/>
          <w:i/>
          <w:sz w:val="24"/>
          <w:szCs w:val="24"/>
          <w:lang w:eastAsia="ru-RU"/>
        </w:rPr>
        <w:t xml:space="preserve">До 10 % - оптимально; </w:t>
      </w:r>
    </w:p>
    <w:p w:rsidR="000276FE" w:rsidRPr="00B40630" w:rsidRDefault="000276FE" w:rsidP="000276FE">
      <w:pPr>
        <w:pStyle w:val="a4"/>
        <w:jc w:val="both"/>
        <w:rPr>
          <w:rFonts w:ascii="Times New Roman" w:hAnsi="Times New Roman" w:cs="Microsoft Sans Serif"/>
          <w:i/>
          <w:sz w:val="24"/>
          <w:szCs w:val="24"/>
          <w:lang w:eastAsia="ru-RU"/>
        </w:rPr>
      </w:pPr>
      <w:r w:rsidRPr="00B40630">
        <w:rPr>
          <w:rFonts w:ascii="Times New Roman" w:hAnsi="Times New Roman" w:cs="Microsoft Sans Serif"/>
          <w:i/>
          <w:sz w:val="24"/>
          <w:szCs w:val="24"/>
          <w:lang w:eastAsia="ru-RU"/>
        </w:rPr>
        <w:t>10 – 30 % - зона «риска», требует пристального контроля за организацией питания, анализ действующего меню и выявление проблемных позиций;</w:t>
      </w:r>
    </w:p>
    <w:p w:rsidR="005B29A5" w:rsidRDefault="000276FE" w:rsidP="000276FE">
      <w:r w:rsidRPr="00B40630">
        <w:rPr>
          <w:rFonts w:cs="Microsoft Sans Serif"/>
          <w:i/>
          <w:sz w:val="24"/>
          <w:szCs w:val="24"/>
        </w:rPr>
        <w:t>Более 30 % - зона «высокого риска», требует безотлагательных мер по оценке выдаваемой пищи, и, при необходимости, коррекции действующего меню.</w:t>
      </w:r>
      <w:bookmarkStart w:id="0" w:name="_GoBack"/>
      <w:bookmarkEnd w:id="0"/>
    </w:p>
    <w:sectPr w:rsidR="005B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FE"/>
    <w:rsid w:val="000276FE"/>
    <w:rsid w:val="005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3C01D-2314-4589-B694-D50BC7C4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6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6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276F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2023-11-21T16:17:00Z</dcterms:created>
  <dcterms:modified xsi:type="dcterms:W3CDTF">2023-11-21T16:17:00Z</dcterms:modified>
</cp:coreProperties>
</file>